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AE" w:rsidRPr="00C647AE" w:rsidRDefault="00C647AE" w:rsidP="00C647AE">
      <w:pPr>
        <w:spacing w:after="167" w:line="360" w:lineRule="auto"/>
        <w:jc w:val="center"/>
        <w:rPr>
          <w:rFonts w:ascii="Times New Roman" w:eastAsia="Times New Roman" w:hAnsi="Times New Roman" w:cs="B Nazanin"/>
          <w:b/>
          <w:bCs/>
          <w:sz w:val="36"/>
          <w:szCs w:val="36"/>
        </w:rPr>
      </w:pPr>
      <w:r w:rsidRPr="00C647AE">
        <w:rPr>
          <w:rFonts w:ascii="Times New Roman" w:eastAsia="Times New Roman" w:hAnsi="Times New Roman" w:cs="B Nazanin"/>
          <w:b/>
          <w:bCs/>
          <w:sz w:val="36"/>
          <w:szCs w:val="36"/>
          <w:rtl/>
        </w:rPr>
        <w:t>عبور صندوق‌ها از رشدهاي خيره‌كننده بازار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 w:hint="cs"/>
          <w:sz w:val="28"/>
          <w:szCs w:val="28"/>
        </w:rPr>
      </w:pP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 xml:space="preserve">بر اين اساس طي دوره مورد گزارش صندوق بانك توسعه تعاون با بازدهي 2/22 درصدي جايگاه نخست را كسب كرد. اين در حالي است كه صندوق بانك توسعه تعاون در ماه اخير 5/31 درصد و در سه ماهه 8/32 درصد بازدهي كسب كرد و بازدهي اين هفته تاثيري قابل توجه در رشد بازدهي صندوق داشته است. همچنين صندوق رفاه ديگر صندوقي بود كه با كسب بازدهي 5/20 درصدي ركوردشكن ظاهر شد. از سوي ديگر صندوق‌هاي تدبيرگران فردا، بورسيران و صنعت و معدن به ترتيب با بازدهي </w:t>
      </w:r>
      <w:r w:rsidRPr="00C647AE">
        <w:rPr>
          <w:rFonts w:ascii="Times New Roman" w:eastAsia="Times New Roman" w:hAnsi="Times New Roman" w:cs="B Nazanin"/>
          <w:sz w:val="28"/>
          <w:szCs w:val="28"/>
        </w:rPr>
        <w:t>3/18</w:t>
      </w: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 xml:space="preserve">، </w:t>
      </w:r>
      <w:r w:rsidRPr="00C647AE">
        <w:rPr>
          <w:rFonts w:ascii="Times New Roman" w:eastAsia="Times New Roman" w:hAnsi="Times New Roman" w:cs="B Nazanin"/>
          <w:sz w:val="28"/>
          <w:szCs w:val="28"/>
        </w:rPr>
        <w:t xml:space="preserve">17 </w:t>
      </w: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>و 8/16 درصدي در رتبه‌هاي بعدي قرار گرفتند</w:t>
      </w:r>
      <w:r w:rsidRPr="00C647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>در همين حال، صندوق‌هاي توسعه صادرات، فارابي، كارگزاري بانك صادرات، مشترك آرمان و عقيق ديگر صندوق‌هايي بودند كه طي هفته منتهي به 5 دي‌ماه بازدهي بالاي 10 درصد را براي سرمايه‌گذاران خود به ارمغان آوردند</w:t>
      </w:r>
      <w:r w:rsidRPr="00C647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>با اين وجود در كنار بازدهي فوق‌العاده كه 36 صندوق را بالاتر از شاخص قرار داد، در هفته منتهي به 5 دي‌ماه صندوق‌هاي آتيه ملت، يكم ايراني و توسعه فردا با بازدهي كمتر از يك درصد، صندوق پاسارگاد با بازدهي صفر و بازدهي صندوق‌هاي تدبيرگر سرمايه و اميد سهم نيز منفي بود</w:t>
      </w:r>
      <w:r w:rsidRPr="00C647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>اين در حالي است كه بازدهي منفي 8/8 درصدي اميدسهم در هفته منتهي به 5 دي‌ماه به دليل بازگشايي نماد صدرا در بازار پايه فرابورس رقم خورده است</w:t>
      </w:r>
      <w:r w:rsidRPr="00C647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 xml:space="preserve">اما براساس عملكرد يك ماهه و سه ماه اخير به ترتيب 37 و 26 صندوق سرمايه‌گذاري همچنان در مقايسه با روند شاخص بورس عملكرد بهتري داشتند. طي يك ماهه اخير </w:t>
      </w:r>
      <w:r w:rsidRPr="00C647AE">
        <w:rPr>
          <w:rFonts w:ascii="Times New Roman" w:eastAsia="Times New Roman" w:hAnsi="Times New Roman" w:cs="B Nazanin"/>
          <w:sz w:val="28"/>
          <w:szCs w:val="28"/>
        </w:rPr>
        <w:t xml:space="preserve">10 </w:t>
      </w: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 xml:space="preserve">صندوق سرمايه‌گذاري بازدهي بالاي 30 درصد داشتند و صندوق آرمان با بازدهي 3/39 درصد، تدبيرگران فردا با 6/36 درصد بازدهي و بورسيران با كسب بازدهي 8/34 درصدي رتبه‌هاي اول تا سوم را داشتند. در حالي كه بازدهي يك ماهه اخير شاخص </w:t>
      </w:r>
      <w:r w:rsidRPr="00C647A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5/19 درصد بود 26 صندوق سرمايه‌گذاري بازدهي بالاتر از 20 درصد براي سرمايه‌گذاران خود به همراه آوردند</w:t>
      </w:r>
      <w:r w:rsidRPr="00C647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>از سوي ديگر در دوره سه ماهه اخير نيز صندوق‌هاي بورسيران، فارابي و عقيق به ترتيب با كسب بازدهي 57، 8/54 و 7/53 درصدي رتبه‌هاي اول تا سوم را كسب كردند، اما همچنان بازدهي متوسط صندوق‌ها طي دوره سه ماهه</w:t>
      </w:r>
      <w:r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C647AE">
        <w:rPr>
          <w:rFonts w:ascii="Times New Roman" w:eastAsia="Times New Roman" w:hAnsi="Times New Roman" w:cs="B Nazanin"/>
          <w:sz w:val="28"/>
          <w:szCs w:val="28"/>
        </w:rPr>
        <w:t xml:space="preserve">20 </w:t>
      </w:r>
      <w:r w:rsidRPr="00C647AE">
        <w:rPr>
          <w:rFonts w:ascii="Times New Roman" w:eastAsia="Times New Roman" w:hAnsi="Times New Roman" w:cs="B Nazanin"/>
          <w:sz w:val="28"/>
          <w:szCs w:val="28"/>
          <w:rtl/>
        </w:rPr>
        <w:t>درصد بود و از بازدهي 8/32 درصدي شاخص طي دوره سه ماهه عقب مانده است</w:t>
      </w:r>
      <w:r w:rsidRPr="00C647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C647AE" w:rsidRPr="00C647AE" w:rsidRDefault="00C647AE" w:rsidP="00C647AE">
      <w:pPr>
        <w:spacing w:after="0" w:line="36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:rsidR="00661C2A" w:rsidRPr="00C647AE" w:rsidRDefault="00661C2A" w:rsidP="00C647AE">
      <w:pPr>
        <w:spacing w:line="360" w:lineRule="auto"/>
        <w:jc w:val="both"/>
        <w:rPr>
          <w:rFonts w:cs="B Nazanin" w:hint="cs"/>
          <w:sz w:val="24"/>
          <w:szCs w:val="24"/>
        </w:rPr>
      </w:pPr>
    </w:p>
    <w:sectPr w:rsidR="00661C2A" w:rsidRPr="00C647AE" w:rsidSect="00C647AE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647AE"/>
    <w:rsid w:val="00661C2A"/>
    <w:rsid w:val="00C647AE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C2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1254">
          <w:marLeft w:val="0"/>
          <w:marRight w:val="0"/>
          <w:marTop w:val="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2012-12-29T08:34:00Z</dcterms:created>
  <dcterms:modified xsi:type="dcterms:W3CDTF">2012-12-29T08:36:00Z</dcterms:modified>
</cp:coreProperties>
</file>